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淮北矿工总医院&amp;淮北市律师协会</w:t>
      </w:r>
    </w:p>
    <w:p>
      <w:pPr>
        <w:pStyle w:val="3"/>
        <w:spacing w:line="36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5"/>
          <w:szCs w:val="35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2026年体检方案</w:t>
      </w:r>
    </w:p>
    <w:tbl>
      <w:tblPr>
        <w:tblStyle w:val="7"/>
        <w:tblW w:w="103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3" w:hRule="atLeast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9960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3"/>
              <w:gridCol w:w="1696"/>
              <w:gridCol w:w="5920"/>
              <w:gridCol w:w="15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9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5"/>
                      <w:szCs w:val="3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5"/>
                      <w:szCs w:val="35"/>
                      <w:u w:val="none"/>
                      <w:lang w:val="en-US" w:eastAsia="zh-CN" w:bidi="ar"/>
                    </w:rPr>
                    <w:t>体检套餐（男）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体检项目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价格（元/人）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一般检查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身高、体重、血压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内科检查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胸腹部、心、肝、脾、肺、肾等听诊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血常规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检查血液红、 白细胞、血红蛋白、血小板等分类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尿常规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（十项）PH、 尿蛋白、 隐血、 尿比重、 尿胆原、 尿糖、 酮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1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肝功能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（九项）总胆红素、 直接胆红素、 总蛋白、 白蛋白、 谷丙  转氨酶、 球蛋白、 谷草转氨酶、 碱性磷酸酶、 谷酰转肽酶、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肾功能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（三项）：尿素氮、肌酐、尿酸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血糖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空腹血糖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血脂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（四项）：总胆固醇、甘油三脂、高密度脂蛋白、低密度脂蛋 白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肿瘤标志物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肝脏、消化系统：AFP、CEA、CA199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肿瘤标志物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男：前列腺特异性抗原 PSA+FPSA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C14呼气试验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通过呼气检测幽门螺旋杆菌的方法，协助诊断消化性溃疡、炎 症等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彩超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（上腹）肝、 胆、 脾、 胰腺、 双肾；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彩超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（男）前列腺彩超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彩超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（甲状腺）双侧甲状腺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心电图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心电图是临床最常用的检查之一，检测心脏供血及心律失常等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肝脏纤维化检测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肝纤维化检查是评估肝脏健康状态，可检测肝脏硬度和脂肪量，早期预防肝硬化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胸部CT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排除早期肺部肿瘤、纵膈或胸腔病变。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头颅CT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可用于脑梗塞、脑缺血等颅内情况检查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动脉硬化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左踝脉搏波传导速度、右踝脉搏波传导速、左侧肢体踝臂指数、 右侧肢体踝臂指数判断四肢大动脉血管硬化情况。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骨密度</w:t>
                  </w: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诊断骨质疏松，预测骨折危险性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60.0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9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92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项目合计：</w:t>
                  </w:r>
                </w:p>
              </w:tc>
              <w:tc>
                <w:tcPr>
                  <w:tcW w:w="15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instrText xml:space="preserve"> = sum(D3:D22) \* MERGEFORMAT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t>1528.6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996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优惠价格：550 元/人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5"/>
                <w:szCs w:val="3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5"/>
                <w:szCs w:val="35"/>
                <w:u w:val="none"/>
                <w:lang w:val="en-US" w:eastAsia="zh-CN" w:bidi="ar"/>
              </w:rPr>
              <w:t>体检套餐（女）</w:t>
            </w:r>
          </w:p>
        </w:tc>
      </w:tr>
    </w:tbl>
    <w:p/>
    <w:tbl>
      <w:tblPr>
        <w:tblStyle w:val="7"/>
        <w:tblW w:w="103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98"/>
        <w:gridCol w:w="5318"/>
        <w:gridCol w:w="1269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未婚价格    元/人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已婚价格     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身高、体重、血压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内科检查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胸腹部、心、肝、脾、肺、肾等听诊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检查血液红、 白细胞、血红蛋白、血小板等分类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（十项）PH、 尿蛋白、 隐血、 尿比重、 尿胆原、 尿糖、 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肝功能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（九项）总胆红素、 直接胆红素、 总蛋白、 白蛋白、 谷丙  转氨酶、 球蛋白、 谷草转氨酶、 碱性磷酸酶、 谷酰转肽酶、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肾功能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（三项）：尿素氮、肌酐、尿酸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（四项）：总胆固醇、甘油三脂、高密度脂蛋白、低密度脂蛋 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AFP、CEA、SF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未婚女：CA199、CA125、CA153、SCC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C14呼气试验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通过呼气检测幽门螺旋杆菌的方法，协助诊断消化性溃疡、炎 症等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（上腹）肝、 胆、 脾、 胰腺、 双肾；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未婚（女）经腹部：子宫卵巢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双侧乳腺彩超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阴道超声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（甲状腺）双侧甲状腺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心电图是临床最常用的检查之一，检测心脏供血及心律失常等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胸部CT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排除早期肺部肿瘤、纵膈或胸腔病变。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头颅CT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可用于脑梗塞、脑缺血等颅内情况检查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诊断骨质疏松，预测骨折危险性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肝脏纤维化检测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肝纤维化检查是评估肝脏健康状态，可检测肝脏硬度和脂肪量，早期预防肝硬化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妇科三项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常规检查、液基TCT、白带常规，与HPV联合检测宫颈癌。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项目合计：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sum(D3:D24)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1635.5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instrText xml:space="preserve"> = sum(E3:E24)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1648.3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优惠价格：600元/人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/>
        <w:shd w:val="clear" w:color="auto" w:fill="FFFFFF"/>
        <w:spacing w:beforeAutospacing="0" w:afterAutospacing="0" w:line="270" w:lineRule="atLeast"/>
        <w:jc w:val="center"/>
        <w:rPr>
          <w:rFonts w:ascii="黑体" w:hAnsi="黑体" w:eastAsia="黑体" w:cs="黑体"/>
          <w:color w:val="000000"/>
          <w:sz w:val="44"/>
          <w:szCs w:val="44"/>
          <w:shd w:val="clear" w:color="auto" w:fill="FFFFFF"/>
        </w:rPr>
      </w:pPr>
      <w:r>
        <w:rPr>
          <w:rFonts w:ascii="黑体" w:hAnsi="黑体" w:eastAsia="黑体" w:cs="黑体"/>
          <w:color w:val="000000"/>
          <w:sz w:val="44"/>
          <w:szCs w:val="44"/>
          <w:shd w:val="clear" w:color="auto" w:fill="FFFFFF"/>
        </w:rPr>
        <w:t>体检注意事项</w:t>
      </w:r>
    </w:p>
    <w:p/>
    <w:p>
      <w:pPr>
        <w:rPr>
          <w:rFonts w:hint="default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您好！感谢您选择淮北矿工总医院健康管理中心进行体检，请仔细阅读以下体检注意事项：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★体检时间：周一至周六早上7: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0-11:30（抽血需9:30前到达体检中心）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5月1日后早上改为7：00上班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体检当日携带本人身份证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val="en-US" w:eastAsia="zh-CN"/>
        </w:rPr>
        <w:t>和律师证核对身份后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可使用自助机登记报到打印体检指引单（自助机选择团体体检），也可到前台登记报到，领取体检指引单；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★免费提供早餐劵和停车券，早餐在矿医餐厅，自驾车可停在淮北矿工总医院院内；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★体检前3—5日饮食宜清淡，忌酒，限高脂高蛋白饮食，避免使用对肝、肾功能有影响的药物；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★抽血及肝、胆彩超须空腹8-10个小时进行，检查前一日晚饭后，请完全禁食(包括饮水)，做膀胱、前列腺、子宫、附件彩超时，请勿排尿，如无尿，需饮水至膀胱充盈，女士做阴超无需憋尿；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★糖尿病、高血压、心脏病等慢性病患者，请将平时服用的药物随身携带备用；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val="en-US" w:eastAsia="zh-CN"/>
        </w:rPr>
        <w:t>律师家属、工勤人员可参考此套餐内容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；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★怀孕或可能已受孕的女性受检者，请事先告知医护人员，勿做放射类（如摄片、碳14呼气试验、CT等）及宫颈刮片等侵入性检查，有备孕计划人员需提前告知； 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★女士生理期，不宜做妇科检查及尿检，待生理期后3-5天检查。做妇科检查前应排空膀胱；未婚女士不宜做妇科检查,有特殊需求者要签署相关协议(告知书)方可进行相应检查；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★如遇重要异常结果我们会及时与您联系。体检完成后您的报告可在7—10个工作日后在公众号进行查询。纸质版报告我们会统一送到单位，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请您认真对待医生的建议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；</w:t>
      </w:r>
    </w:p>
    <w:p>
      <w:pPr>
        <w:widowControl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按省文件要求，自4月28日起实体胶片不打包计费CT/MRI等检查提供报告和电子胶片（需提供电话号码）。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（温馨提示：体检时请勿携带贵重物品）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若您尚有不清楚的问题，请与我们联络：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健康热线：0561-3068288</w:t>
      </w:r>
    </w:p>
    <w:p>
      <w:pPr>
        <w:pStyle w:val="6"/>
        <w:widowControl/>
        <w:shd w:val="clear" w:color="auto" w:fill="FFFFFF"/>
        <w:spacing w:beforeAutospacing="0" w:afterAutospacing="0" w:line="375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地址：淮北矿工总医院门诊大楼西侧50米健康管理中心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113665</wp:posOffset>
            </wp:positionV>
            <wp:extent cx="2343150" cy="2112645"/>
            <wp:effectExtent l="0" t="0" r="3810" b="5715"/>
            <wp:wrapNone/>
            <wp:docPr id="2" name="图片 2" descr="174839131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8391311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32"/>
        </w:rPr>
      </w:pPr>
    </w:p>
    <w:p/>
    <w:sectPr>
      <w:pgSz w:w="11906" w:h="16838"/>
      <w:pgMar w:top="1780" w:right="1780" w:bottom="1780" w:left="17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55C8"/>
    <w:rsid w:val="611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2195</Characters>
  <Lines>0</Lines>
  <Paragraphs>0</Paragraphs>
  <TotalTime>4</TotalTime>
  <ScaleCrop>false</ScaleCrop>
  <LinksUpToDate>false</LinksUpToDate>
  <CharactersWithSpaces>2260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2026-03-18T01:17:00Z</dcterms:created>
  <dc:creator>admin</dc:creator>
  <cp:lastModifiedBy>田田</cp:lastModifiedBy>
  <dcterms:modified xsi:type="dcterms:W3CDTF">2026-03-18T02:10:22Z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eyJoZGlkIjoiOWUzMGJlOWEzZmZhMmY1ZmFiMjg2ODdjZjJiZTNkNWQiLCJ1c2VySWQiOiIyNjExMTUyNzUifQ==</vt:lpwstr>
  </property>
  <property fmtid="{D5CDD505-2E9C-101B-9397-08002B2CF9AE}" pid="4" name="ICV">
    <vt:lpwstr>04D2D6CFC3F74A47AA66D71141186555</vt:lpwstr>
  </property>
</Properties>
</file>